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11816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3F1C68">
        <w:rPr>
          <w:rFonts w:eastAsia="Arial"/>
          <w:b/>
          <w:kern w:val="3"/>
          <w:sz w:val="24"/>
          <w:szCs w:val="24"/>
          <w:lang w:eastAsia="zh-CN"/>
        </w:rPr>
        <w:t>урадьяна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3F1C68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приказом Министерства строительства, арх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F1C6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>5 174 000,00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3F1C6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F1C68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электроснабжения</w:t>
      </w:r>
      <w:r w:rsidR="003F1C6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>3 000 000,00</w:t>
      </w:r>
      <w:r w:rsidR="003F1C6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1C68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F1C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>389 000,00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>122 610,00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E4F47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AA7AF-75EB-4FF3-BD4B-CDD9935C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39</cp:revision>
  <cp:lastPrinted>2023-02-01T06:27:00Z</cp:lastPrinted>
  <dcterms:created xsi:type="dcterms:W3CDTF">2024-06-19T09:12:00Z</dcterms:created>
  <dcterms:modified xsi:type="dcterms:W3CDTF">2024-07-01T05:24:00Z</dcterms:modified>
</cp:coreProperties>
</file>